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преподавателей</w:t>
      </w:r>
      <w:r/>
    </w:p>
    <w:tbl>
      <w:tblPr>
        <w:tblW w:w="95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454"/>
        <w:gridCol w:w="2334"/>
        <w:gridCol w:w="3934"/>
      </w:tblGrid>
      <w:tr>
        <w:trPr/>
        <w:tc>
          <w:tcPr>
            <w:tcW w:w="8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Ковалева Ирина Валерьевна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заместителя директора по ТО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irakovaleva1997@mail.ru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Аленникова Лариса Валерьевна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химии, биологии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alennikova_lora@mail.ru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Старикова Ирина Владимировна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русского языка и литературы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mesherka66@mail.ru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r>
            <w:r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Череухин Юрий Викторович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физической культуры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student.dv43@gmail.com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Зеленская Алла Александровна 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allazelenskayasolomina@mail.ru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Куришко Владимир Николаевич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Педагог-организатор ОБЖ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kurishko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.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v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.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n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@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yandex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.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Яковлева Вера Валентиновна 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спец. дисциплин 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verayakovleva61@mail.ru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Лисицына Нина Викторовна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информатики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nina.lisitsina2020@mail.ru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Старук Валерий Алексеевич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Staruk_V@mail.ru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Прибыш Любовь Викторовна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lpribysh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@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yandex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</w:rPr>
              <w:t xml:space="preserve">.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Сахаровский Владимир Павлович 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vovapavlovih61@mail.ru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r>
            <w:r>
              <w:rPr>
                <w:rFonts w:ascii="Times New Roman" w:hAnsi="Times New Roman"/>
                <w:color w:val="005BD1"/>
                <w:sz w:val="28"/>
                <w:szCs w:val="28"/>
                <w:highlight w:val="none"/>
                <w:shd w:val="clear" w:fill="FFFFFF" w:color="auto"/>
                <w:lang w:val="en-US"/>
              </w:rPr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Ирина Владимировна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математики, физики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tunjian2013@yandex.ru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Головина Ирина Владимировна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ira.golovina2016@mail.ru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Турахонов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Собирхон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Яхьяевич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distsht@yandex.ru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Корюхина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Наталья Станиславовна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koryuhina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Исмоилов Салмон Гуллмахмадович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физической культуры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distsht@yandex.ru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Мальчева Наталья Григорьевна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nmalcheva@yandex.ru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Рейтер Ольга Георгиевна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п/о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distsht@yandex.ru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Собянин Алексей Анатольевич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п/о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distsht@yandex.ru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Власова Ирина Владимировна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п/о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irinavlasova10.10.80@mail.ru</w:t>
            </w:r>
            <w:r/>
          </w:p>
        </w:tc>
      </w:tr>
      <w:tr>
        <w:trPr/>
        <w:tc>
          <w:tcPr>
            <w:tcW w:w="820" w:type="dxa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Осетрова Наталья Александровна</w:t>
            </w:r>
            <w:r/>
          </w:p>
        </w:tc>
        <w:tc>
          <w:tcPr>
            <w:tcW w:w="23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заочным отделением</w:t>
            </w:r>
            <w:r/>
          </w:p>
        </w:tc>
        <w:tc>
          <w:tcPr>
            <w:tcW w:w="39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natalya-osetrova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@mail.ru</w:t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20" w:type="dxa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Гарипова Екатерина Сергеевна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meringer89@mail.ru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20" w:type="dxa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Ковалева Ирина Васильевна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(соц. психология, проф. этика)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20" w:type="dxa"/>
            <w:vMerge w:val="restart"/>
            <w:textDirection w:val="lrTb"/>
            <w:noWrap w:val="false"/>
          </w:tcPr>
          <w:p>
            <w:pPr>
              <w:pStyle w:val="817"/>
              <w:numPr>
                <w:ilvl w:val="0"/>
                <w:numId w:val="1"/>
              </w:num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Шишкин Вадим Михайлович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спецдисциплин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pP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  <w:t xml:space="preserve">distsht@yandex.ru</w:t>
            </w:r>
            <w:r>
              <w:rPr>
                <w:rFonts w:ascii="Times New Roman" w:hAnsi="Times New Roman"/>
                <w:color w:val="005BD1"/>
                <w:sz w:val="28"/>
                <w:szCs w:val="28"/>
                <w:shd w:val="clear" w:fill="FFFFFF" w:color="auto"/>
                <w:lang w:val="en-US"/>
              </w:rPr>
            </w:r>
            <w:r/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basedOn w:val="813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2"/>
    <w:next w:val="81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basedOn w:val="813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2"/>
    <w:next w:val="812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basedOn w:val="813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basedOn w:val="813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basedOn w:val="813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basedOn w:val="813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basedOn w:val="813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basedOn w:val="813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basedOn w:val="813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No Spacing"/>
    <w:qFormat/>
    <w:uiPriority w:val="1"/>
    <w:pPr>
      <w:spacing w:lineRule="auto" w:line="240" w:after="0" w:before="0"/>
    </w:pPr>
  </w:style>
  <w:style w:type="paragraph" w:styleId="655">
    <w:name w:val="Title"/>
    <w:basedOn w:val="812"/>
    <w:next w:val="812"/>
    <w:link w:val="65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2"/>
    <w:next w:val="812"/>
    <w:link w:val="658"/>
    <w:qFormat/>
    <w:uiPriority w:val="11"/>
    <w:rPr>
      <w:sz w:val="24"/>
      <w:szCs w:val="24"/>
    </w:rPr>
    <w:pPr>
      <w:spacing w:after="200" w:before="200"/>
    </w:p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2"/>
    <w:next w:val="812"/>
    <w:link w:val="660"/>
    <w:qFormat/>
    <w:uiPriority w:val="29"/>
    <w:rPr>
      <w:i/>
    </w:rPr>
    <w:pPr>
      <w:ind w:left="720" w:right="720"/>
    </w:p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2"/>
    <w:next w:val="812"/>
    <w:link w:val="66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2"/>
    <w:link w:val="6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2"/>
    <w:link w:val="6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lang w:eastAsia="en-US"/>
    </w:rPr>
    <w:pPr>
      <w:spacing w:lineRule="auto" w:line="259" w:after="160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>
    <w:name w:val="Table Grid"/>
    <w:basedOn w:val="814"/>
    <w:uiPriority w:val="99"/>
    <w:rPr>
      <w:sz w:val="20"/>
      <w:szCs w:val="20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17">
    <w:name w:val="List Paragraph"/>
    <w:basedOn w:val="812"/>
    <w:qFormat/>
    <w:uiPriority w:val="99"/>
    <w:pPr>
      <w:contextualSpacing w:val="true"/>
      <w:ind w:left="720"/>
    </w:pPr>
  </w:style>
  <w:style w:type="character" w:styleId="818">
    <w:name w:val="annotation reference"/>
    <w:basedOn w:val="813"/>
    <w:uiPriority w:val="99"/>
    <w:semiHidden/>
    <w:rPr>
      <w:rFonts w:cs="Times New Roman"/>
      <w:sz w:val="16"/>
      <w:szCs w:val="16"/>
    </w:rPr>
  </w:style>
  <w:style w:type="paragraph" w:styleId="819">
    <w:name w:val="annotation text"/>
    <w:basedOn w:val="812"/>
    <w:link w:val="820"/>
    <w:uiPriority w:val="99"/>
    <w:semiHidden/>
    <w:rPr>
      <w:sz w:val="20"/>
      <w:szCs w:val="20"/>
    </w:rPr>
    <w:pPr>
      <w:spacing w:lineRule="auto" w:line="240"/>
    </w:pPr>
  </w:style>
  <w:style w:type="character" w:styleId="820" w:customStyle="1">
    <w:name w:val="Текст примечания Знак"/>
    <w:basedOn w:val="813"/>
    <w:link w:val="819"/>
    <w:uiPriority w:val="99"/>
    <w:semiHidden/>
    <w:rPr>
      <w:rFonts w:cs="Times New Roman"/>
      <w:sz w:val="20"/>
      <w:szCs w:val="20"/>
    </w:rPr>
  </w:style>
  <w:style w:type="paragraph" w:styleId="821">
    <w:name w:val="annotation subject"/>
    <w:basedOn w:val="819"/>
    <w:next w:val="819"/>
    <w:link w:val="822"/>
    <w:uiPriority w:val="99"/>
    <w:semiHidden/>
    <w:rPr>
      <w:b/>
      <w:bCs/>
    </w:rPr>
  </w:style>
  <w:style w:type="character" w:styleId="822" w:customStyle="1">
    <w:name w:val="Тема примечания Знак"/>
    <w:basedOn w:val="820"/>
    <w:link w:val="821"/>
    <w:uiPriority w:val="99"/>
    <w:semiHidden/>
    <w:rPr>
      <w:rFonts w:cs="Times New Roman"/>
      <w:b/>
      <w:bCs/>
      <w:sz w:val="20"/>
      <w:szCs w:val="20"/>
    </w:rPr>
  </w:style>
  <w:style w:type="paragraph" w:styleId="823">
    <w:name w:val="Balloon Text"/>
    <w:basedOn w:val="812"/>
    <w:link w:val="824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24" w:customStyle="1">
    <w:name w:val="Текст выноски Знак"/>
    <w:basedOn w:val="813"/>
    <w:link w:val="8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Дистанционное обучение СХТ</cp:lastModifiedBy>
  <cp:revision>4</cp:revision>
  <dcterms:modified xsi:type="dcterms:W3CDTF">2021-09-08T01:18:38Z</dcterms:modified>
</cp:coreProperties>
</file>